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E7" w:rsidRPr="00C87202" w:rsidRDefault="002224E7"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行政院與所屬中央及地方各機關公務人員休假改進措施第三點、第五點、第七點修正對照表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2224E7" w:rsidRPr="001E6E01" w:rsidTr="001E6E01">
        <w:tc>
          <w:tcPr>
            <w:tcW w:w="2922"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修正規定</w:t>
            </w:r>
          </w:p>
        </w:tc>
        <w:tc>
          <w:tcPr>
            <w:tcW w:w="2870"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現行規定</w:t>
            </w:r>
          </w:p>
        </w:tc>
        <w:tc>
          <w:tcPr>
            <w:tcW w:w="2713"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說明</w:t>
            </w:r>
          </w:p>
        </w:tc>
      </w:tr>
      <w:tr w:rsidR="002224E7" w:rsidRPr="001E6E01" w:rsidTr="001E6E01">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pStyle w:val="HTML"/>
              <w:shd w:val="clear" w:color="auto" w:fill="FFFFFF"/>
              <w:ind w:leftChars="200" w:left="480" w:firstLineChars="200" w:firstLine="480"/>
              <w:jc w:val="both"/>
              <w:rPr>
                <w:rFonts w:ascii="標楷體" w:eastAsia="標楷體" w:hAnsi="標楷體" w:cs="Times New Roman"/>
              </w:rPr>
            </w:pPr>
            <w:r w:rsidRPr="001E6E01">
              <w:rPr>
                <w:rFonts w:ascii="標楷體" w:eastAsia="標楷體" w:hAnsi="標楷體" w:cs="Times New Roman" w:hint="eastAsia"/>
                <w:kern w:val="2"/>
              </w:rPr>
              <w:t>前項所稱主管機關，指各部、會、行、總處、署、院、</w:t>
            </w:r>
            <w:r w:rsidRPr="001E6E01">
              <w:rPr>
                <w:rFonts w:ascii="標楷體" w:eastAsia="標楷體" w:hAnsi="標楷體" w:cs="Times New Roman" w:hint="eastAsia"/>
                <w:kern w:val="2"/>
                <w:u w:val="single"/>
              </w:rPr>
              <w:t>省政府、省諮議會、直轄市政府、直轄市議會、</w:t>
            </w:r>
            <w:r w:rsidRPr="001E6E01">
              <w:rPr>
                <w:rFonts w:ascii="標楷體" w:eastAsia="標楷體" w:hAnsi="標楷體" w:cs="Times New Roman"/>
                <w:kern w:val="2"/>
                <w:u w:val="single"/>
              </w:rPr>
              <w:t xml:space="preserve"> </w:t>
            </w:r>
            <w:r w:rsidRPr="001E6E01">
              <w:rPr>
                <w:rFonts w:ascii="標楷體" w:eastAsia="標楷體" w:hAnsi="標楷體" w:cs="Times New Roman" w:hint="eastAsia"/>
                <w:kern w:val="2"/>
                <w:u w:val="single"/>
              </w:rPr>
              <w:t>縣（市）政府及縣（市）議會</w:t>
            </w:r>
            <w:r w:rsidRPr="001E6E01">
              <w:rPr>
                <w:rFonts w:ascii="標楷體" w:eastAsia="標楷體" w:hAnsi="標楷體" w:cs="Times New Roman" w:hint="eastAsia"/>
                <w:kern w:val="2"/>
              </w:rPr>
              <w:t>。</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ind w:leftChars="214" w:left="514" w:firstLineChars="200" w:firstLine="480"/>
              <w:jc w:val="both"/>
              <w:rPr>
                <w:rFonts w:ascii="標楷體" w:eastAsia="標楷體" w:hAnsi="標楷體"/>
                <w:szCs w:val="24"/>
              </w:rPr>
            </w:pPr>
            <w:r w:rsidRPr="001E6E01">
              <w:rPr>
                <w:rFonts w:ascii="標楷體" w:eastAsia="標楷體" w:hAnsi="標楷體" w:hint="eastAsia"/>
                <w:szCs w:val="24"/>
              </w:rPr>
              <w:t>前項所稱主管機關，指各部、會、行、總處、署、院、</w:t>
            </w:r>
            <w:r w:rsidRPr="001E6E01">
              <w:rPr>
                <w:rFonts w:ascii="標楷體" w:eastAsia="標楷體" w:hAnsi="標楷體" w:hint="eastAsia"/>
                <w:szCs w:val="24"/>
                <w:u w:val="single"/>
              </w:rPr>
              <w:t>及省、直轄市、縣（市）政府</w:t>
            </w:r>
            <w:r w:rsidRPr="001E6E01">
              <w:rPr>
                <w:rFonts w:ascii="標楷體" w:eastAsia="標楷體" w:hAnsi="標楷體" w:hint="eastAsia"/>
                <w:szCs w:val="24"/>
              </w:rPr>
              <w:t>。</w:t>
            </w:r>
          </w:p>
          <w:p w:rsidR="002224E7" w:rsidRPr="001E6E01" w:rsidRDefault="002224E7" w:rsidP="001E6E01">
            <w:pPr>
              <w:spacing w:line="240" w:lineRule="atLeast"/>
              <w:ind w:left="480" w:hangingChars="200" w:hanging="480"/>
              <w:jc w:val="both"/>
              <w:rPr>
                <w:rFonts w:ascii="標楷體" w:eastAsia="標楷體" w:hAnsi="標楷體"/>
                <w:szCs w:val="24"/>
              </w:rPr>
            </w:pPr>
          </w:p>
        </w:tc>
        <w:tc>
          <w:tcPr>
            <w:tcW w:w="2713" w:type="dxa"/>
          </w:tcPr>
          <w:p w:rsidR="002224E7" w:rsidRPr="001E6E01" w:rsidRDefault="002224E7" w:rsidP="001E6E01">
            <w:pPr>
              <w:spacing w:line="240" w:lineRule="atLeast"/>
              <w:jc w:val="both"/>
              <w:rPr>
                <w:rFonts w:ascii="標楷體" w:eastAsia="標楷體" w:hAnsi="標楷體"/>
                <w:szCs w:val="24"/>
              </w:rPr>
            </w:pPr>
            <w:r w:rsidRPr="001E6E01">
              <w:rPr>
                <w:rFonts w:ascii="標楷體" w:eastAsia="標楷體" w:hAnsi="標楷體" w:hint="eastAsia"/>
                <w:szCs w:val="24"/>
              </w:rPr>
              <w:t>配合行政院與所屬中央及地方各機關之組織及實務運作現況，修正本點第二項主管機關之範圍。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w:t>
            </w:r>
            <w:r w:rsidRPr="001E6E01">
              <w:rPr>
                <w:rFonts w:ascii="標楷體" w:eastAsia="標楷體" w:hAnsi="標楷體" w:hint="eastAsia"/>
                <w:szCs w:val="24"/>
                <w:u w:val="single"/>
              </w:rPr>
              <w:t>、旅宿業、觀光遊樂業或交通運輸業</w:t>
            </w:r>
            <w:r w:rsidRPr="001E6E01">
              <w:rPr>
                <w:rFonts w:ascii="標楷體" w:eastAsia="標楷體" w:hAnsi="標楷體" w:hint="eastAsia"/>
                <w:szCs w:val="24"/>
              </w:rPr>
              <w:t>國民旅遊卡特約商店刷卡消費，始得按刷卡消費金額予以核實補助。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w:t>
            </w:r>
            <w:r w:rsidRPr="001E6E01">
              <w:rPr>
                <w:rFonts w:ascii="標楷體" w:eastAsia="標楷體" w:hAnsi="標楷體" w:hint="eastAsia"/>
                <w:spacing w:val="6"/>
                <w:szCs w:val="24"/>
              </w:rPr>
              <w:lastRenderedPageBreak/>
              <w:t>總額均屬自行運用額度。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w:t>
            </w:r>
            <w:r w:rsidRPr="001E6E01">
              <w:rPr>
                <w:rFonts w:ascii="標楷體" w:eastAsia="標楷體" w:hAnsi="標楷體" w:hint="eastAsia"/>
                <w:szCs w:val="24"/>
                <w:u w:val="single"/>
              </w:rPr>
              <w:t>或</w:t>
            </w:r>
            <w:r w:rsidRPr="001E6E01">
              <w:rPr>
                <w:rFonts w:ascii="標楷體" w:eastAsia="標楷體" w:hAnsi="標楷體" w:hint="eastAsia"/>
                <w:szCs w:val="24"/>
              </w:rPr>
              <w:t>觀光遊樂業刷卡消費者，其與該休假期間相連之假日於</w:t>
            </w:r>
            <w:r w:rsidRPr="001E6E01">
              <w:rPr>
                <w:rFonts w:ascii="標楷體" w:eastAsia="標楷體" w:hAnsi="標楷體" w:hint="eastAsia"/>
                <w:szCs w:val="24"/>
                <w:u w:val="single"/>
              </w:rPr>
              <w:t>各行業別</w:t>
            </w:r>
            <w:r w:rsidRPr="001E6E01">
              <w:rPr>
                <w:rFonts w:ascii="標楷體" w:eastAsia="標楷體" w:hAnsi="標楷體" w:hint="eastAsia"/>
                <w:szCs w:val="24"/>
              </w:rPr>
              <w:t>國民旅遊卡特約商店刷卡之消費，得</w:t>
            </w:r>
            <w:r w:rsidRPr="001E6E01">
              <w:rPr>
                <w:rFonts w:ascii="標楷體" w:eastAsia="標楷體" w:hAnsi="標楷體" w:hint="eastAsia"/>
                <w:szCs w:val="24"/>
                <w:u w:val="single"/>
              </w:rPr>
              <w:t>按其行業別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w:t>
            </w:r>
            <w:r w:rsidRPr="001E6E01">
              <w:rPr>
                <w:rFonts w:ascii="標楷體" w:eastAsia="標楷體" w:hAnsi="標楷體" w:hint="eastAsia"/>
                <w:szCs w:val="24"/>
                <w:u w:val="single"/>
              </w:rPr>
              <w:t>交通運輸業或加油站</w:t>
            </w:r>
            <w:r w:rsidRPr="001E6E01">
              <w:rPr>
                <w:rFonts w:ascii="標楷體" w:eastAsia="標楷體" w:hAnsi="標楷體" w:hint="eastAsia"/>
                <w:szCs w:val="24"/>
              </w:rPr>
              <w:t>國民旅遊卡特約商店刷卡消費之交通費用，得</w:t>
            </w:r>
            <w:r w:rsidRPr="001E6E01">
              <w:rPr>
                <w:rFonts w:ascii="標楷體" w:eastAsia="標楷體" w:hAnsi="標楷體" w:hint="eastAsia"/>
                <w:szCs w:val="24"/>
                <w:u w:val="single"/>
              </w:rPr>
              <w:t>按其行業</w:t>
            </w:r>
            <w:r w:rsidRPr="001E6E01">
              <w:rPr>
                <w:rFonts w:ascii="標楷體" w:eastAsia="標楷體" w:hAnsi="標楷體" w:hint="eastAsia"/>
                <w:szCs w:val="24"/>
                <w:u w:val="single"/>
              </w:rPr>
              <w:lastRenderedPageBreak/>
              <w:t>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觀光旅遊額度：公務人員應於休假期間，持國民旅遊卡至觀光局審核通過之旅行業國民旅遊卡特約商店刷卡消費</w:t>
            </w:r>
            <w:r w:rsidRPr="001E6E01">
              <w:rPr>
                <w:rFonts w:ascii="標楷體" w:eastAsia="標楷體" w:hAnsi="標楷體" w:hint="eastAsia"/>
                <w:szCs w:val="24"/>
                <w:u w:val="single"/>
              </w:rPr>
              <w:t>觀光旅遊商品</w:t>
            </w:r>
            <w:r w:rsidRPr="001E6E01">
              <w:rPr>
                <w:rFonts w:ascii="標楷體" w:eastAsia="標楷體" w:hAnsi="標楷體" w:hint="eastAsia"/>
                <w:szCs w:val="24"/>
              </w:rPr>
              <w:t>，始得按刷卡消費金額予以核實補助。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公務人員當年所具休假資格在七日以下者，其補助總額均屬自行運</w:t>
            </w:r>
            <w:r w:rsidRPr="001E6E01">
              <w:rPr>
                <w:rFonts w:ascii="標楷體" w:eastAsia="標楷體" w:hAnsi="標楷體" w:hint="eastAsia"/>
                <w:spacing w:val="6"/>
                <w:szCs w:val="24"/>
              </w:rPr>
              <w:lastRenderedPageBreak/>
              <w:t>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休假期間及其相連假日之連續期間，於旅行業、旅宿業、觀光遊樂業刷卡消費者，其與該休假期間相連之假日於各國民旅遊卡特約商店刷卡之消費，得核實併入自行運用額度之補助範圍。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符合第二目請領休假補助者，其休假期間前後一日於國民旅遊卡特約商店刷卡消費之交通費用，得核實併入自行運用額度之補助範圍。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w:t>
            </w:r>
            <w:r w:rsidRPr="001E6E01">
              <w:rPr>
                <w:rFonts w:ascii="標楷體" w:eastAsia="標楷體" w:hAnsi="標楷體" w:hint="eastAsia"/>
                <w:szCs w:val="24"/>
              </w:rPr>
              <w:lastRenderedPageBreak/>
              <w:t>支給休假補助費新臺幣六百元；未達一日者，按日折半支給，於年終一併結算。</w:t>
            </w:r>
          </w:p>
        </w:tc>
        <w:tc>
          <w:tcPr>
            <w:tcW w:w="2713"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一、為擴大旅遊多樣性，使習慣自由行的公務人員，可直接向旅行業、旅宿業、觀光遊樂業及交通運輸業選購自行住宿及旅遊商品，將上開業別均納入國民旅遊卡觀光旅遊額度之補助範圍，爰修正本點第一款第二目之二，刪除觀光旅遊商品文字及增列旅宿業、觀光遊樂業及交通運輸業。</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二、配合旅行業、旅宿業、觀光遊樂業及</w:t>
            </w:r>
            <w:r w:rsidRPr="001E6E01">
              <w:rPr>
                <w:rFonts w:ascii="標楷體" w:eastAsia="標楷體" w:hAnsi="標楷體" w:hint="eastAsia"/>
                <w:szCs w:val="24"/>
              </w:rPr>
              <w:lastRenderedPageBreak/>
              <w:t>交通運輸業納入觀光旅遊額度之補助範圍，爰修正本點第一款第六目相關文字，使該目得併入補助範圍部分得按其行業別核實併入觀光旅遊額度或自行運用額度之補助範圍。</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七、各主管機關得審酌實際需要及特殊狀況，依本改進措施，另訂補充規定。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七、各主管機關</w:t>
            </w:r>
            <w:r w:rsidRPr="001E6E01">
              <w:rPr>
                <w:rFonts w:ascii="標楷體" w:eastAsia="標楷體" w:hAnsi="標楷體" w:hint="eastAsia"/>
                <w:szCs w:val="24"/>
                <w:u w:val="single"/>
              </w:rPr>
              <w:t>（各部、會、行、處、局、署、院、省、各直轄市及縣（市）政府）</w:t>
            </w:r>
            <w:r w:rsidRPr="001E6E01">
              <w:rPr>
                <w:rFonts w:ascii="標楷體" w:eastAsia="標楷體" w:hAnsi="標楷體" w:hint="eastAsia"/>
                <w:szCs w:val="24"/>
              </w:rPr>
              <w:t>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713" w:type="dxa"/>
          </w:tcPr>
          <w:p w:rsidR="002224E7" w:rsidRPr="001E6E01" w:rsidRDefault="002224E7" w:rsidP="001E6E01">
            <w:pPr>
              <w:jc w:val="both"/>
              <w:rPr>
                <w:rFonts w:ascii="標楷體" w:eastAsia="標楷體" w:hAnsi="標楷體"/>
                <w:szCs w:val="24"/>
              </w:rPr>
            </w:pPr>
            <w:r w:rsidRPr="001E6E01">
              <w:rPr>
                <w:rFonts w:ascii="標楷體" w:eastAsia="標楷體" w:hAnsi="標楷體" w:hint="eastAsia"/>
                <w:szCs w:val="24"/>
              </w:rPr>
              <w:t>各主管機關之範圍業已明定於第三點第二項，爰修正本點之規定。</w:t>
            </w:r>
          </w:p>
        </w:tc>
      </w:tr>
    </w:tbl>
    <w:p w:rsidR="002224E7" w:rsidRPr="00BA1149" w:rsidRDefault="002224E7" w:rsidP="006D6BDF"/>
    <w:sectPr w:rsidR="002224E7"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2F7" w:rsidRDefault="00C622F7" w:rsidP="00C71DF6">
      <w:r>
        <w:separator/>
      </w:r>
    </w:p>
  </w:endnote>
  <w:endnote w:type="continuationSeparator" w:id="1">
    <w:p w:rsidR="00C622F7" w:rsidRDefault="00C622F7"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4E7" w:rsidRDefault="00A10FED">
    <w:pPr>
      <w:pStyle w:val="a5"/>
      <w:jc w:val="center"/>
    </w:pPr>
    <w:fldSimple w:instr="PAGE   \* MERGEFORMAT">
      <w:r w:rsidR="00A70C39" w:rsidRPr="00A70C39">
        <w:rPr>
          <w:noProof/>
          <w:lang w:val="zh-TW"/>
        </w:rPr>
        <w:t>1</w:t>
      </w:r>
    </w:fldSimple>
  </w:p>
  <w:p w:rsidR="002224E7" w:rsidRDefault="002224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2F7" w:rsidRDefault="00C622F7" w:rsidP="00C71DF6">
      <w:r>
        <w:separator/>
      </w:r>
    </w:p>
  </w:footnote>
  <w:footnote w:type="continuationSeparator" w:id="1">
    <w:p w:rsidR="00C622F7" w:rsidRDefault="00C622F7"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E6E01"/>
    <w:rsid w:val="001F34F0"/>
    <w:rsid w:val="001F4A79"/>
    <w:rsid w:val="001F6DBB"/>
    <w:rsid w:val="00204ABD"/>
    <w:rsid w:val="00205340"/>
    <w:rsid w:val="002120DD"/>
    <w:rsid w:val="002123C9"/>
    <w:rsid w:val="002224E7"/>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A7089"/>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0FED"/>
    <w:rsid w:val="00A12617"/>
    <w:rsid w:val="00A129EC"/>
    <w:rsid w:val="00A32687"/>
    <w:rsid w:val="00A35A4D"/>
    <w:rsid w:val="00A373A7"/>
    <w:rsid w:val="00A37CE0"/>
    <w:rsid w:val="00A40225"/>
    <w:rsid w:val="00A5466F"/>
    <w:rsid w:val="00A60694"/>
    <w:rsid w:val="00A62883"/>
    <w:rsid w:val="00A70C39"/>
    <w:rsid w:val="00A80135"/>
    <w:rsid w:val="00A84279"/>
    <w:rsid w:val="00A84C8F"/>
    <w:rsid w:val="00A90E9A"/>
    <w:rsid w:val="00A972AA"/>
    <w:rsid w:val="00AA13D2"/>
    <w:rsid w:val="00AA2DED"/>
    <w:rsid w:val="00AA559B"/>
    <w:rsid w:val="00AA7B25"/>
    <w:rsid w:val="00AB02BF"/>
    <w:rsid w:val="00AB0B81"/>
    <w:rsid w:val="00AB38B8"/>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658B"/>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22F7"/>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4495D"/>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B49"/>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8D7"/>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0A8E"/>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 w:type="paragraph" w:styleId="HTML">
    <w:name w:val="HTML Preformatted"/>
    <w:basedOn w:val="a"/>
    <w:link w:val="HTML0"/>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01629A"/>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divs>
    <w:div w:id="3751685">
      <w:marLeft w:val="0"/>
      <w:marRight w:val="0"/>
      <w:marTop w:val="0"/>
      <w:marBottom w:val="0"/>
      <w:divBdr>
        <w:top w:val="none" w:sz="0" w:space="0" w:color="auto"/>
        <w:left w:val="none" w:sz="0" w:space="0" w:color="auto"/>
        <w:bottom w:val="none" w:sz="0" w:space="0" w:color="auto"/>
        <w:right w:val="none" w:sz="0" w:space="0" w:color="auto"/>
      </w:divBdr>
    </w:div>
    <w:div w:id="3751686">
      <w:marLeft w:val="0"/>
      <w:marRight w:val="0"/>
      <w:marTop w:val="0"/>
      <w:marBottom w:val="0"/>
      <w:divBdr>
        <w:top w:val="none" w:sz="0" w:space="0" w:color="auto"/>
        <w:left w:val="none" w:sz="0" w:space="0" w:color="auto"/>
        <w:bottom w:val="none" w:sz="0" w:space="0" w:color="auto"/>
        <w:right w:val="none" w:sz="0" w:space="0" w:color="auto"/>
      </w:divBdr>
    </w:div>
    <w:div w:id="3751687">
      <w:marLeft w:val="0"/>
      <w:marRight w:val="0"/>
      <w:marTop w:val="0"/>
      <w:marBottom w:val="0"/>
      <w:divBdr>
        <w:top w:val="none" w:sz="0" w:space="0" w:color="auto"/>
        <w:left w:val="none" w:sz="0" w:space="0" w:color="auto"/>
        <w:bottom w:val="none" w:sz="0" w:space="0" w:color="auto"/>
        <w:right w:val="none" w:sz="0" w:space="0" w:color="auto"/>
      </w:divBdr>
    </w:div>
    <w:div w:id="3751688">
      <w:marLeft w:val="0"/>
      <w:marRight w:val="0"/>
      <w:marTop w:val="0"/>
      <w:marBottom w:val="0"/>
      <w:divBdr>
        <w:top w:val="none" w:sz="0" w:space="0" w:color="auto"/>
        <w:left w:val="none" w:sz="0" w:space="0" w:color="auto"/>
        <w:bottom w:val="none" w:sz="0" w:space="0" w:color="auto"/>
        <w:right w:val="none" w:sz="0" w:space="0" w:color="auto"/>
      </w:divBdr>
    </w:div>
    <w:div w:id="3751689">
      <w:marLeft w:val="0"/>
      <w:marRight w:val="0"/>
      <w:marTop w:val="0"/>
      <w:marBottom w:val="0"/>
      <w:divBdr>
        <w:top w:val="none" w:sz="0" w:space="0" w:color="auto"/>
        <w:left w:val="none" w:sz="0" w:space="0" w:color="auto"/>
        <w:bottom w:val="none" w:sz="0" w:space="0" w:color="auto"/>
        <w:right w:val="none" w:sz="0" w:space="0" w:color="auto"/>
      </w:divBdr>
    </w:div>
    <w:div w:id="3751690">
      <w:marLeft w:val="0"/>
      <w:marRight w:val="0"/>
      <w:marTop w:val="0"/>
      <w:marBottom w:val="0"/>
      <w:divBdr>
        <w:top w:val="none" w:sz="0" w:space="0" w:color="auto"/>
        <w:left w:val="none" w:sz="0" w:space="0" w:color="auto"/>
        <w:bottom w:val="none" w:sz="0" w:space="0" w:color="auto"/>
        <w:right w:val="none" w:sz="0" w:space="0" w:color="auto"/>
      </w:divBdr>
    </w:div>
    <w:div w:id="3751691">
      <w:marLeft w:val="0"/>
      <w:marRight w:val="0"/>
      <w:marTop w:val="0"/>
      <w:marBottom w:val="0"/>
      <w:divBdr>
        <w:top w:val="none" w:sz="0" w:space="0" w:color="auto"/>
        <w:left w:val="none" w:sz="0" w:space="0" w:color="auto"/>
        <w:bottom w:val="none" w:sz="0" w:space="0" w:color="auto"/>
        <w:right w:val="none" w:sz="0" w:space="0" w:color="auto"/>
      </w:divBdr>
    </w:div>
    <w:div w:id="3751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行政院與所屬中央及地方各機關公務人員休假改進措施第三點、第五點、第七點修正草案對照表</dc:title>
  <dc:creator>徐仲舜</dc:creator>
  <cp:lastModifiedBy>user</cp:lastModifiedBy>
  <cp:revision>2</cp:revision>
  <cp:lastPrinted>2017-02-10T03:54:00Z</cp:lastPrinted>
  <dcterms:created xsi:type="dcterms:W3CDTF">2017-03-09T01:07:00Z</dcterms:created>
  <dcterms:modified xsi:type="dcterms:W3CDTF">2017-03-09T01:07:00Z</dcterms:modified>
</cp:coreProperties>
</file>